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2009 12 vom 11. März 2009</w:t>
      </w:r>
    </w:p>
    <w:p>
      <w:r>
        <w:t>GR Gerichte, 2009-03-11, DE</w:t>
      </w:r>
    </w:p>
    <w:p>
      <w:r>
        <w:rPr>
          <w:b/>
        </w:rPr>
        <w:t xml:space="preserve">Quelle: </w:t>
      </w:r>
      <w:r>
        <w:t>https://mcp.opencaselaw.ch/entscheid/gr_gerichte_SK2 2009 12</w:t>
      </w:r>
    </w:p>
    <w:p>
      <w:r>
        <w:t>FR: GR_GERICHTE SK2 2009 12 du 11 mars 2009</w:t>
      </w:r>
    </w:p>
    <w:p>
      <w:r>
        <w:t>IT: GR_GERICHTE SK2 2009 12 del 11 marzo 2009</w:t>
      </w:r>
    </w:p>
    <w:p>
      <w:pPr>
        <w:pStyle w:val="Heading2"/>
      </w:pPr>
      <w:r>
        <w:t>Regeste</w:t>
      </w:r>
    </w:p>
    <w:p>
      <w:r>
        <w:t>Widerhandlung gegen die Strassenverkehrsgesetzgebung | Berufung Verwaltungsrecht Bund - SR Öffentliche Werke-Energie-Verkehr</w:t>
      </w:r>
    </w:p>
    <w:p>
      <w:pPr>
        <w:pStyle w:val="Heading2"/>
      </w:pPr>
      <w:r>
        <w:t>Erwägungen</w:t>
      </w:r>
    </w:p>
    <w:p>
      <w:r>
        <w:rPr>
          <w:b/>
        </w:rPr>
        <w:t>E. 1</w:t>
      </w:r>
    </w:p>
    <w:p>
      <w:r>
        <w:t>Nach Art. 180 Abs. 1 StPO kann der Betroffene gegen Einspracheentscheide der Departemente beim Kantonsgericht Berufung gemäss Art. 141 ff. StPO einle- gen. Sie ist gemäss Art. 142 Abs. 1 StPO innert 20 Tagen seit der schriftlichen Eröff- nung des Einspracheentscheids einzureichen. Diese Frist wurde vorliegend einge- halten. Da auch die übrigen Sachurteilsvoraussetzungen gegeben sind, ist auf die Berufung einzutreten. 2.a) Wird gegen ein Strafmandat des kantonalen Strassenverkehrsamtes Ein- sprache erhoben, ergänzt das DJSG vor der Beurteilung des Falles die Untersu- chung nach den Vorschriften über das ordentliche Strafverfahren (Art. 175 Abs. 1 StPO, Art. 4 Abs. 2 der Verordnung über das Verwaltungsstrafverfahren, VStV, BR 350.490). Die Einsprache hat demnach zur Folge, dass das Untersuchungsverfah- ren neu eröffnet und damit ein Strafprozessrechtsverhältnis begründet wird. Vorlie- gend steht fest und ist unbestritten, dass die Vorladung dem Angeschuldigten am 11. November 2008 ordnungsgemäss zugestellt und von diesem innert der sie- bentägigen Lagerfrist bei der Poststelle nicht abgeholt wurde, was die Retournie- rung der Sendung an das Departement als Absenderin zur Folge hatte. b) Der Angeschuldigte macht geltend, er sei zur fraglichen Zeit verhindert ge- wesen, den Brief auf der Post abzuholen. Er sei am 24. November 2008 von einer Reise aus St. Petersburg zurückgekehrt, so dass er dann leider zu spät auf dem Postamt gewesen sei. Verurteilungen ohne Anhörung seien nach seinem Rechts- verständnis Willkür und sollten in der Schweiz nicht praktiziert werden. Zudem sei es für seine Person stossend, ohne Verschulden verurteilt zu werden. Er wieder- hole, dass er am 16. Februar 2008 nicht in B. gewesen sei, weshalb er die Busse nicht akzeptieren könne. Zum Beweis seiner Behauptung beantragt er diverse Be- weiserhebungen. 3.a) Nach ständiger bundesgerichtlicher Rechtsprechung gilt eine Sendung nicht erst dann als zugestellt, wenn der Adressat sie tatsächlich in Empfang genommen hat, sondern es genügt, dass sie in seinen Machtbereich gelangt und er sie demzu- folge zur Kenntnis nehmen kann. Wird der Empfänger einer eingeschriebenen Brief- postsendung oder Gerichtsurkunde nicht angetroffen und wird daher eine Abho- lungseinladung in seinen Briefkasten oder in sein Postfach gelegt, so wird die Sen- dung in jenem Zeitpunkt als zugestellt betrachtet, in welchem sie auf der Poststelle abgeholt wird. Geschieht dies nicht innert der Abholfrist von sieben Tagen, so gilt die Sendung als am letzten Tag der Frist zugestellt. Diese Zustellfiktion rechtfertigt sich nach der bundesgerichtlichen Rechsprechung, weil die an einem Verfahren Be-</w:t>
      </w:r>
    </w:p>
    <w:p>
      <w:r>
        <w:t>Seite 4 — 5 teiligten nach dem Grundsatz von Treu und Glauben dafür zu sorgen haben, dass behördliche Akte sie erreichen können. Diese Pflicht entstehe mithin als prozessu- ale Pflicht mit der Begründung eines Verfahrensverhältnisses und gelte insoweit, als während hängigen Verfahrens mit einer gewissen Wahrscheinlichkeit mit der Zustellung eines behördlichen Aktes habe gerechnet werden müssen (Urteil des Bundesgerichts 2A.429/2002 vom 08.10.2002, E. 1; ebenso BGE 130 III 396. 127 I 31, 119 V 89). Diese Grundsätze gelten, sofern die Prozessgesetze der Kantone keine abweichenden Vorschriften enthalten, sowohl für die Zustellung nach eid- genössischem wie für jene nach kantonalem Recht. Der Kanton Graubünden kennt keine besonderen Vorschriften. Daher ist die bundesgerichtliche Rechsprechung massgebend (vgl. VB 06 12 E. 2d). b) Wie erwähnt (vgl. E. 2a hiervor), wurde mit der Einsprache gegen das Straf- mandat ein Prozessrechtsverhältnis begründet. Der Angeschuldigte musste daher aufgrund seiner Einsprache zumindest mit einer gewissen Wahrscheinlicht damit rechnen, dass ihm im Nachgang dazu behördliche Akten, wie die alsdann erfolgte Vorladung zur Einvernahme, zugestellt werden könnten. Er wäre daher gemäss bundesgerichtlicher Rechsprechung verpflichtet gewesen, dafür zu sorgen, dass die Vorladung ihn oder eine von ihm beauftragte Person innert der siebentägigen Ab- holfrist hätte erreichen können. Da der Angeschuldigte dieser prozessualen Pflicht nicht nachgekommen ist, hat er die sich daraus ergebenden Rechtsfolgen zu tragen. Dagegen sind auch die von ihm vorgebrachten Einwände unbehelflich. c) Gemäss Art. 175 Abs. 3 StPO fällt eine erhobene Einsprache gegen ein Straf- mandat dahin, wenn der Einsprecher im anschliessenden Untersuchungsverfahren einer Vorladung unentschuldigt keine Folge leistet. Da X. nach erfolgter Einsprache der auf den 22. Januar 2009 anberaumten Einvernahme unentschuldigt fern blieb, hat die Vorinstanz demnach zu Recht gestützt auf diese Bestimmung und unter Berücksichtigung der bundesgerichtlichen Rechtsprechung das Verfahren abge- schrieben und das Strafmandat für rechtskräftig erklärt. Die Berufung erweist sich somit nach dem Gesagten als offensichtlich unbegründet und ist daher abzuweisen.</w:t>
      </w:r>
    </w:p>
    <w:p>
      <w:r>
        <w:rPr>
          <w:b/>
        </w:rPr>
        <w:t>E. 4</w:t>
      </w:r>
    </w:p>
    <w:p>
      <w:r>
        <w:t>Bei diesem Ausgang gehen die Kosten des Berufungsverfahrens zu Lasten des Berufungsklägers (Art. 160 Abs. 1 StPO).</w:t>
      </w:r>
    </w:p>
    <w:p>
      <w:r>
        <w:t>Seite 5 — 5 Demnach erkennt die II. Strafkammer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